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Pr="00C122B7" w:rsidRDefault="005A13BC" w:rsidP="00F13154">
      <w:pPr>
        <w:pStyle w:val="Zkladntextodsazen"/>
        <w:spacing w:before="120" w:after="120" w:line="260" w:lineRule="exact"/>
        <w:jc w:val="center"/>
        <w:rPr>
          <w:rFonts w:ascii="Arial" w:hAnsi="Arial" w:cs="Arial"/>
          <w:b/>
          <w:bCs/>
          <w:sz w:val="22"/>
          <w:szCs w:val="22"/>
        </w:rPr>
      </w:pPr>
      <w:r>
        <w:rPr>
          <w:rFonts w:ascii="Arial" w:hAnsi="Arial" w:cs="Arial"/>
          <w:b/>
          <w:bCs/>
          <w:sz w:val="22"/>
          <w:szCs w:val="22"/>
        </w:rPr>
        <w:t>II/348 Dobronín, průtah</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5A13BC">
        <w:rPr>
          <w:rFonts w:ascii="Arial" w:eastAsia="MS Mincho" w:hAnsi="Arial" w:cs="Arial"/>
          <w:sz w:val="22"/>
          <w:szCs w:val="22"/>
        </w:rPr>
        <w:t>Ing. Iveta Hartmanová Pavlů</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C91DA1" w:rsidRDefault="00AA02D9" w:rsidP="00C91DA1">
      <w:pPr>
        <w:pStyle w:val="Zkladntextodsazen21"/>
        <w:numPr>
          <w:ilvl w:val="1"/>
          <w:numId w:val="19"/>
        </w:numPr>
        <w:tabs>
          <w:tab w:val="left" w:pos="567"/>
        </w:tabs>
        <w:spacing w:before="120" w:line="260" w:lineRule="exact"/>
        <w:rPr>
          <w:rFonts w:ascii="Arial" w:hAnsi="Arial" w:cs="Arial"/>
          <w:sz w:val="22"/>
          <w:szCs w:val="22"/>
        </w:rPr>
      </w:pPr>
      <w:r w:rsidRPr="00C91DA1">
        <w:rPr>
          <w:rFonts w:ascii="Arial" w:hAnsi="Arial" w:cs="Arial"/>
          <w:sz w:val="22"/>
          <w:szCs w:val="22"/>
        </w:rPr>
        <w:t>Příkazník</w:t>
      </w:r>
      <w:r w:rsidR="009907FC" w:rsidRPr="00C91DA1">
        <w:rPr>
          <w:rFonts w:ascii="Arial" w:hAnsi="Arial" w:cs="Arial"/>
          <w:sz w:val="22"/>
          <w:szCs w:val="22"/>
        </w:rPr>
        <w:t xml:space="preserve"> se zavazuje, že </w:t>
      </w:r>
      <w:r w:rsidR="00D15B14" w:rsidRPr="00C91DA1">
        <w:rPr>
          <w:rFonts w:ascii="Arial" w:hAnsi="Arial" w:cs="Arial"/>
          <w:sz w:val="22"/>
          <w:szCs w:val="22"/>
        </w:rPr>
        <w:t xml:space="preserve">pro příkazce </w:t>
      </w:r>
      <w:r w:rsidR="009907FC" w:rsidRPr="00C91DA1">
        <w:rPr>
          <w:rFonts w:ascii="Arial" w:hAnsi="Arial" w:cs="Arial"/>
          <w:sz w:val="22"/>
          <w:szCs w:val="22"/>
        </w:rPr>
        <w:t xml:space="preserve">za podmínek dohodnutých v této smlouvě </w:t>
      </w:r>
      <w:r w:rsidR="00F3223D" w:rsidRPr="00C91DA1">
        <w:rPr>
          <w:rFonts w:ascii="Arial" w:hAnsi="Arial" w:cs="Arial"/>
          <w:sz w:val="22"/>
          <w:szCs w:val="22"/>
        </w:rPr>
        <w:t xml:space="preserve">vykoná </w:t>
      </w:r>
      <w:r w:rsidR="00D15B14" w:rsidRPr="00C91DA1">
        <w:rPr>
          <w:rFonts w:ascii="Arial" w:hAnsi="Arial" w:cs="Arial"/>
          <w:sz w:val="22"/>
          <w:szCs w:val="22"/>
        </w:rPr>
        <w:t xml:space="preserve">jeho </w:t>
      </w:r>
      <w:r w:rsidR="009907FC" w:rsidRPr="00C91DA1">
        <w:rPr>
          <w:rFonts w:ascii="Arial" w:hAnsi="Arial" w:cs="Arial"/>
          <w:sz w:val="22"/>
          <w:szCs w:val="22"/>
        </w:rPr>
        <w:t>jménem</w:t>
      </w:r>
      <w:r w:rsidR="005C75AB" w:rsidRPr="00C91DA1">
        <w:rPr>
          <w:rFonts w:ascii="Arial" w:hAnsi="Arial" w:cs="Arial"/>
          <w:sz w:val="22"/>
          <w:szCs w:val="22"/>
        </w:rPr>
        <w:t xml:space="preserve"> a na jeho účet </w:t>
      </w:r>
      <w:r w:rsidR="00D15B14" w:rsidRPr="00C91DA1">
        <w:rPr>
          <w:rFonts w:ascii="Arial" w:hAnsi="Arial" w:cs="Arial"/>
          <w:sz w:val="22"/>
          <w:szCs w:val="22"/>
        </w:rPr>
        <w:t>činnost</w:t>
      </w:r>
      <w:r w:rsidR="005C75AB" w:rsidRPr="00C91DA1">
        <w:rPr>
          <w:rFonts w:ascii="Arial" w:hAnsi="Arial" w:cs="Arial"/>
          <w:sz w:val="22"/>
          <w:szCs w:val="22"/>
        </w:rPr>
        <w:t xml:space="preserve"> „t</w:t>
      </w:r>
      <w:r w:rsidR="009907FC" w:rsidRPr="00C91DA1">
        <w:rPr>
          <w:rFonts w:ascii="Arial" w:hAnsi="Arial" w:cs="Arial"/>
          <w:sz w:val="22"/>
          <w:szCs w:val="22"/>
        </w:rPr>
        <w:t>echnick</w:t>
      </w:r>
      <w:r w:rsidR="005C75AB" w:rsidRPr="00C91DA1">
        <w:rPr>
          <w:rFonts w:ascii="Arial" w:hAnsi="Arial" w:cs="Arial"/>
          <w:sz w:val="22"/>
          <w:szCs w:val="22"/>
        </w:rPr>
        <w:t>ého dozoru stavebníka“ (dále též „</w:t>
      </w:r>
      <w:r w:rsidR="009907FC" w:rsidRPr="00C91DA1">
        <w:rPr>
          <w:rFonts w:ascii="Arial" w:hAnsi="Arial" w:cs="Arial"/>
          <w:sz w:val="22"/>
          <w:szCs w:val="22"/>
        </w:rPr>
        <w:t>TD</w:t>
      </w:r>
      <w:r w:rsidR="005C75AB" w:rsidRPr="00C91DA1">
        <w:rPr>
          <w:rFonts w:ascii="Arial" w:hAnsi="Arial" w:cs="Arial"/>
          <w:sz w:val="22"/>
          <w:szCs w:val="22"/>
        </w:rPr>
        <w:t>“</w:t>
      </w:r>
      <w:r w:rsidR="009907FC" w:rsidRPr="00C91DA1">
        <w:rPr>
          <w:rFonts w:ascii="Arial" w:hAnsi="Arial" w:cs="Arial"/>
          <w:sz w:val="22"/>
          <w:szCs w:val="22"/>
        </w:rPr>
        <w:t>) spočívající v zajištění kontroly (shody) a dohledu nad plněním smluvních závazků zhotovitele stavby, se zvláštním důrazem na</w:t>
      </w:r>
      <w:r w:rsidR="005064E5" w:rsidRPr="00C91DA1">
        <w:rPr>
          <w:rFonts w:ascii="Arial" w:hAnsi="Arial" w:cs="Arial"/>
          <w:sz w:val="22"/>
          <w:szCs w:val="22"/>
        </w:rPr>
        <w:t> </w:t>
      </w:r>
      <w:r w:rsidR="009907FC" w:rsidRPr="00C91DA1">
        <w:rPr>
          <w:rFonts w:ascii="Arial" w:hAnsi="Arial" w:cs="Arial"/>
          <w:sz w:val="22"/>
          <w:szCs w:val="22"/>
        </w:rPr>
        <w:t>kvalitu a způsob provádění prací specifikovaných ve smlouvě o dílo na akci</w:t>
      </w:r>
      <w:r w:rsidR="00E00041" w:rsidRPr="00C91DA1">
        <w:rPr>
          <w:rFonts w:ascii="Arial" w:hAnsi="Arial" w:cs="Arial"/>
          <w:sz w:val="22"/>
          <w:szCs w:val="22"/>
        </w:rPr>
        <w:t xml:space="preserve"> </w:t>
      </w:r>
      <w:r w:rsidR="005A13BC" w:rsidRPr="00C91DA1">
        <w:rPr>
          <w:rFonts w:ascii="Arial" w:hAnsi="Arial" w:cs="Arial"/>
          <w:sz w:val="22"/>
          <w:szCs w:val="22"/>
        </w:rPr>
        <w:t>II/348 Dobronín, průtah</w:t>
      </w:r>
      <w:r w:rsidR="00C122B7" w:rsidRPr="00C91DA1">
        <w:rPr>
          <w:rFonts w:ascii="Arial" w:hAnsi="Arial" w:cs="Arial"/>
          <w:sz w:val="22"/>
          <w:szCs w:val="22"/>
        </w:rPr>
        <w:t xml:space="preserve"> </w:t>
      </w:r>
      <w:r w:rsidR="00EB55E9" w:rsidRPr="00C91DA1">
        <w:rPr>
          <w:rFonts w:ascii="Arial" w:hAnsi="Arial" w:cs="Arial"/>
          <w:sz w:val="22"/>
          <w:szCs w:val="22"/>
        </w:rPr>
        <w:t xml:space="preserve">(dále též smlouvy o dílo) </w:t>
      </w:r>
      <w:r w:rsidR="00C91DA1">
        <w:rPr>
          <w:rFonts w:ascii="Arial" w:hAnsi="Arial" w:cs="Arial"/>
          <w:sz w:val="22"/>
          <w:szCs w:val="22"/>
        </w:rPr>
        <w:t>dle projektové dokumentace:</w:t>
      </w:r>
    </w:p>
    <w:p w:rsidR="00C91DA1" w:rsidRPr="00C91DA1" w:rsidRDefault="00C91DA1" w:rsidP="00C91DA1">
      <w:pPr>
        <w:pStyle w:val="Zkladntextodsazen21"/>
        <w:numPr>
          <w:ilvl w:val="0"/>
          <w:numId w:val="42"/>
        </w:numPr>
        <w:tabs>
          <w:tab w:val="left" w:pos="567"/>
        </w:tabs>
        <w:spacing w:before="120" w:line="260" w:lineRule="exact"/>
        <w:rPr>
          <w:rFonts w:ascii="Arial" w:hAnsi="Arial" w:cs="Arial"/>
          <w:sz w:val="22"/>
          <w:szCs w:val="22"/>
        </w:rPr>
      </w:pPr>
      <w:r>
        <w:rPr>
          <w:rFonts w:ascii="Arial" w:hAnsi="Arial" w:cs="Arial"/>
          <w:sz w:val="22"/>
          <w:szCs w:val="22"/>
        </w:rPr>
        <w:t xml:space="preserve"> </w:t>
      </w:r>
      <w:r w:rsidRPr="00C91DA1">
        <w:rPr>
          <w:rFonts w:ascii="Arial" w:hAnsi="Arial" w:cs="Arial"/>
          <w:b/>
          <w:sz w:val="22"/>
          <w:szCs w:val="22"/>
        </w:rPr>
        <w:t>II/348 Dobronín – průtah, PD</w:t>
      </w:r>
      <w:r w:rsidRPr="00C91DA1">
        <w:rPr>
          <w:rFonts w:ascii="Arial" w:hAnsi="Arial" w:cs="Arial"/>
          <w:sz w:val="22"/>
          <w:szCs w:val="22"/>
        </w:rPr>
        <w:t xml:space="preserve"> zpracované ve stupni PDPS společností DOPRAPLAN s.r.o., Přemyslovců 462/6, 709 00 Ostrava – Mariánské Hory, IČO: 054 11 572 v říjnu 2022.</w:t>
      </w:r>
    </w:p>
    <w:p w:rsidR="00C91DA1" w:rsidRPr="00C91DA1" w:rsidRDefault="00C91DA1" w:rsidP="00C91DA1">
      <w:pPr>
        <w:pStyle w:val="Zkladntextodsazen21"/>
        <w:tabs>
          <w:tab w:val="left" w:pos="567"/>
        </w:tabs>
        <w:spacing w:before="120" w:line="260" w:lineRule="exact"/>
        <w:ind w:left="0" w:firstLine="0"/>
        <w:rPr>
          <w:rFonts w:ascii="Arial" w:hAnsi="Arial" w:cs="Arial"/>
          <w:sz w:val="22"/>
          <w:szCs w:val="22"/>
        </w:rPr>
      </w:pPr>
      <w:r>
        <w:rPr>
          <w:rFonts w:ascii="Arial" w:hAnsi="Arial" w:cs="Arial"/>
          <w:sz w:val="22"/>
          <w:szCs w:val="22"/>
        </w:rPr>
        <w:t xml:space="preserve">           </w:t>
      </w:r>
      <w:r w:rsidRPr="00C91DA1">
        <w:rPr>
          <w:rFonts w:ascii="Arial" w:hAnsi="Arial" w:cs="Arial"/>
          <w:sz w:val="22"/>
          <w:szCs w:val="22"/>
        </w:rPr>
        <w:t xml:space="preserve">Objektová skladba: </w:t>
      </w:r>
      <w:r w:rsidRPr="00C91DA1">
        <w:rPr>
          <w:rFonts w:ascii="Arial" w:hAnsi="Arial" w:cs="Arial"/>
          <w:sz w:val="22"/>
          <w:szCs w:val="22"/>
        </w:rPr>
        <w:tab/>
        <w:t>SO 101 Silnice II/348</w:t>
      </w:r>
    </w:p>
    <w:p w:rsidR="00C91DA1" w:rsidRPr="00C91DA1" w:rsidRDefault="00C91DA1" w:rsidP="00C91DA1">
      <w:pPr>
        <w:pStyle w:val="Zkladntextodsazen21"/>
        <w:tabs>
          <w:tab w:val="left" w:pos="567"/>
        </w:tabs>
        <w:spacing w:before="120" w:line="260" w:lineRule="exact"/>
        <w:ind w:left="0" w:firstLine="0"/>
        <w:rPr>
          <w:rFonts w:ascii="Arial" w:hAnsi="Arial" w:cs="Arial"/>
          <w:sz w:val="22"/>
          <w:szCs w:val="22"/>
        </w:rPr>
      </w:pPr>
      <w:r>
        <w:rPr>
          <w:rFonts w:ascii="Arial" w:hAnsi="Arial" w:cs="Arial"/>
          <w:sz w:val="22"/>
          <w:szCs w:val="22"/>
        </w:rPr>
        <w:t xml:space="preserve">                                              </w:t>
      </w:r>
      <w:r w:rsidRPr="00C91DA1">
        <w:rPr>
          <w:rFonts w:ascii="Arial" w:hAnsi="Arial" w:cs="Arial"/>
          <w:sz w:val="22"/>
          <w:szCs w:val="22"/>
        </w:rPr>
        <w:t>SO 181 Dopravně inženýrská opatření</w:t>
      </w:r>
    </w:p>
    <w:p w:rsidR="00C91DA1" w:rsidRDefault="00C91DA1" w:rsidP="00C91DA1">
      <w:pPr>
        <w:pStyle w:val="Zkladntextodsazen21"/>
        <w:tabs>
          <w:tab w:val="left" w:pos="567"/>
        </w:tabs>
        <w:spacing w:before="120" w:line="260" w:lineRule="exact"/>
        <w:ind w:left="0" w:firstLine="0"/>
        <w:rPr>
          <w:rFonts w:ascii="Arial" w:hAnsi="Arial" w:cs="Arial"/>
          <w:sz w:val="22"/>
          <w:szCs w:val="22"/>
        </w:rPr>
      </w:pPr>
    </w:p>
    <w:p w:rsidR="00092003" w:rsidRPr="00C91DA1" w:rsidRDefault="00092003" w:rsidP="00C91DA1">
      <w:pPr>
        <w:pStyle w:val="Zkladntextodsazen21"/>
        <w:tabs>
          <w:tab w:val="left" w:pos="567"/>
        </w:tabs>
        <w:spacing w:before="120" w:line="260" w:lineRule="exact"/>
        <w:ind w:left="0" w:firstLine="0"/>
        <w:rPr>
          <w:rFonts w:ascii="Arial" w:hAnsi="Arial" w:cs="Arial"/>
          <w:sz w:val="22"/>
          <w:szCs w:val="22"/>
        </w:rPr>
      </w:pPr>
    </w:p>
    <w:p w:rsidR="00C91DA1" w:rsidRPr="00C91DA1" w:rsidRDefault="00C91DA1" w:rsidP="00C91DA1">
      <w:pPr>
        <w:pStyle w:val="Zkladntextodsazen21"/>
        <w:numPr>
          <w:ilvl w:val="0"/>
          <w:numId w:val="42"/>
        </w:numPr>
        <w:tabs>
          <w:tab w:val="left" w:pos="567"/>
        </w:tabs>
        <w:spacing w:before="120" w:line="260" w:lineRule="exact"/>
        <w:rPr>
          <w:rFonts w:ascii="Arial" w:hAnsi="Arial" w:cs="Arial"/>
          <w:sz w:val="22"/>
          <w:szCs w:val="22"/>
        </w:rPr>
      </w:pPr>
      <w:r>
        <w:rPr>
          <w:rFonts w:ascii="Arial" w:hAnsi="Arial" w:cs="Arial"/>
          <w:sz w:val="22"/>
          <w:szCs w:val="22"/>
        </w:rPr>
        <w:lastRenderedPageBreak/>
        <w:t xml:space="preserve"> </w:t>
      </w:r>
      <w:r w:rsidRPr="00C91DA1">
        <w:rPr>
          <w:rFonts w:ascii="Arial" w:hAnsi="Arial" w:cs="Arial"/>
          <w:b/>
          <w:sz w:val="22"/>
          <w:szCs w:val="22"/>
        </w:rPr>
        <w:t>II/348 Dobronín – most ev. č. 348-008</w:t>
      </w:r>
      <w:r w:rsidRPr="00C91DA1">
        <w:rPr>
          <w:rFonts w:ascii="Arial" w:hAnsi="Arial" w:cs="Arial"/>
          <w:sz w:val="22"/>
          <w:szCs w:val="22"/>
        </w:rPr>
        <w:t xml:space="preserve"> zpracované ve stupni PDPS společností Projekční kancelář PRIS spol. s r.o., Osová 20, 625 00 Brno, IČO: 469 74 806 v březnu 2020.</w:t>
      </w:r>
    </w:p>
    <w:p w:rsidR="00C91DA1" w:rsidRPr="00C91DA1" w:rsidRDefault="00092003" w:rsidP="00C91DA1">
      <w:pPr>
        <w:pStyle w:val="Zkladntextodsazen21"/>
        <w:tabs>
          <w:tab w:val="left" w:pos="567"/>
        </w:tabs>
        <w:spacing w:before="120" w:line="260" w:lineRule="exact"/>
        <w:rPr>
          <w:rFonts w:ascii="Arial" w:hAnsi="Arial" w:cs="Arial"/>
          <w:sz w:val="22"/>
          <w:szCs w:val="22"/>
        </w:rPr>
      </w:pPr>
      <w:r>
        <w:rPr>
          <w:rFonts w:ascii="Arial" w:hAnsi="Arial" w:cs="Arial"/>
          <w:sz w:val="22"/>
          <w:szCs w:val="22"/>
        </w:rPr>
        <w:t xml:space="preserve">           </w:t>
      </w:r>
      <w:r w:rsidR="00C91DA1" w:rsidRPr="00C91DA1">
        <w:rPr>
          <w:rFonts w:ascii="Arial" w:hAnsi="Arial" w:cs="Arial"/>
          <w:sz w:val="22"/>
          <w:szCs w:val="22"/>
        </w:rPr>
        <w:t xml:space="preserve">Objektová skladba: </w:t>
      </w:r>
      <w:r w:rsidR="00C91DA1" w:rsidRPr="00C91DA1">
        <w:rPr>
          <w:rFonts w:ascii="Arial" w:hAnsi="Arial" w:cs="Arial"/>
          <w:sz w:val="22"/>
          <w:szCs w:val="22"/>
        </w:rPr>
        <w:tab/>
        <w:t>SO 201 Most ev. č. 3</w:t>
      </w:r>
      <w:r w:rsidR="00D64312">
        <w:rPr>
          <w:rFonts w:ascii="Arial" w:hAnsi="Arial" w:cs="Arial"/>
          <w:sz w:val="22"/>
          <w:szCs w:val="22"/>
        </w:rPr>
        <w:t>4</w:t>
      </w:r>
      <w:r w:rsidR="00C91DA1" w:rsidRPr="00C91DA1">
        <w:rPr>
          <w:rFonts w:ascii="Arial" w:hAnsi="Arial" w:cs="Arial"/>
          <w:sz w:val="22"/>
          <w:szCs w:val="22"/>
        </w:rPr>
        <w:t>8-008</w:t>
      </w:r>
      <w:bookmarkStart w:id="0" w:name="_GoBack"/>
      <w:bookmarkEnd w:id="0"/>
    </w:p>
    <w:p w:rsidR="00C91DA1" w:rsidRPr="00C91DA1" w:rsidRDefault="00C91DA1" w:rsidP="00C91DA1">
      <w:pPr>
        <w:pStyle w:val="Zkladntextodsazen21"/>
        <w:tabs>
          <w:tab w:val="left" w:pos="567"/>
        </w:tabs>
        <w:spacing w:before="120" w:line="260" w:lineRule="exact"/>
        <w:ind w:left="1440" w:firstLine="0"/>
        <w:rPr>
          <w:rFonts w:ascii="Arial" w:hAnsi="Arial" w:cs="Arial"/>
          <w:sz w:val="22"/>
          <w:szCs w:val="22"/>
        </w:rPr>
      </w:pPr>
      <w:r w:rsidRPr="00C91DA1">
        <w:rPr>
          <w:rFonts w:ascii="Arial" w:hAnsi="Arial" w:cs="Arial"/>
          <w:sz w:val="22"/>
          <w:szCs w:val="22"/>
        </w:rPr>
        <w:tab/>
      </w:r>
      <w:r w:rsidR="00092003">
        <w:rPr>
          <w:rFonts w:ascii="Arial" w:hAnsi="Arial" w:cs="Arial"/>
          <w:sz w:val="22"/>
          <w:szCs w:val="22"/>
        </w:rPr>
        <w:t xml:space="preserve">           </w:t>
      </w:r>
      <w:r w:rsidRPr="00C91DA1">
        <w:rPr>
          <w:rFonts w:ascii="Arial" w:hAnsi="Arial" w:cs="Arial"/>
          <w:sz w:val="22"/>
          <w:szCs w:val="22"/>
        </w:rPr>
        <w:t>SO 401 Sdělovací vedení</w:t>
      </w:r>
    </w:p>
    <w:p w:rsidR="00C91DA1" w:rsidRPr="00C91DA1" w:rsidRDefault="00C91DA1" w:rsidP="00C91DA1">
      <w:pPr>
        <w:pStyle w:val="Zkladntextodsazen21"/>
        <w:tabs>
          <w:tab w:val="left" w:pos="567"/>
        </w:tabs>
        <w:spacing w:before="120" w:line="260" w:lineRule="exact"/>
        <w:ind w:left="1440" w:firstLine="0"/>
        <w:rPr>
          <w:rFonts w:ascii="Arial" w:hAnsi="Arial" w:cs="Arial"/>
          <w:sz w:val="22"/>
          <w:szCs w:val="22"/>
        </w:rPr>
      </w:pPr>
      <w:r w:rsidRPr="00C91DA1">
        <w:rPr>
          <w:rFonts w:ascii="Arial" w:hAnsi="Arial" w:cs="Arial"/>
          <w:sz w:val="22"/>
          <w:szCs w:val="22"/>
        </w:rPr>
        <w:tab/>
      </w:r>
      <w:r w:rsidR="00092003">
        <w:rPr>
          <w:rFonts w:ascii="Arial" w:hAnsi="Arial" w:cs="Arial"/>
          <w:sz w:val="22"/>
          <w:szCs w:val="22"/>
        </w:rPr>
        <w:t xml:space="preserve">           </w:t>
      </w:r>
      <w:r w:rsidRPr="00C91DA1">
        <w:rPr>
          <w:rFonts w:ascii="Arial" w:hAnsi="Arial" w:cs="Arial"/>
          <w:sz w:val="22"/>
          <w:szCs w:val="22"/>
        </w:rPr>
        <w:t>SO 501 Plynovod</w:t>
      </w:r>
    </w:p>
    <w:p w:rsidR="00092003" w:rsidRDefault="00C91DA1" w:rsidP="00092003">
      <w:pPr>
        <w:pStyle w:val="Zkladntextodsazen21"/>
        <w:tabs>
          <w:tab w:val="left" w:pos="567"/>
        </w:tabs>
        <w:spacing w:before="120" w:line="260" w:lineRule="exact"/>
        <w:ind w:left="1440" w:firstLine="0"/>
        <w:rPr>
          <w:rFonts w:ascii="Arial" w:hAnsi="Arial" w:cs="Arial"/>
          <w:sz w:val="22"/>
          <w:szCs w:val="22"/>
        </w:rPr>
      </w:pPr>
      <w:r w:rsidRPr="00C91DA1">
        <w:rPr>
          <w:rFonts w:ascii="Arial" w:hAnsi="Arial" w:cs="Arial"/>
          <w:sz w:val="22"/>
          <w:szCs w:val="22"/>
        </w:rPr>
        <w:tab/>
      </w:r>
      <w:r w:rsidR="00092003">
        <w:rPr>
          <w:rFonts w:ascii="Arial" w:hAnsi="Arial" w:cs="Arial"/>
          <w:sz w:val="22"/>
          <w:szCs w:val="22"/>
        </w:rPr>
        <w:t xml:space="preserve">           </w:t>
      </w:r>
      <w:r w:rsidRPr="00C91DA1">
        <w:rPr>
          <w:rFonts w:ascii="Arial" w:hAnsi="Arial" w:cs="Arial"/>
          <w:sz w:val="22"/>
          <w:szCs w:val="22"/>
        </w:rPr>
        <w:t>SO 182 Dopravně inženýrská opatření (neobsazeno – bude řešeno</w:t>
      </w:r>
      <w:r w:rsidR="00092003">
        <w:rPr>
          <w:rFonts w:ascii="Arial" w:hAnsi="Arial" w:cs="Arial"/>
          <w:sz w:val="22"/>
          <w:szCs w:val="22"/>
        </w:rPr>
        <w:br/>
        <w:t xml:space="preserve">                      </w:t>
      </w:r>
      <w:r w:rsidRPr="00C91DA1">
        <w:rPr>
          <w:rFonts w:ascii="Arial" w:hAnsi="Arial" w:cs="Arial"/>
          <w:sz w:val="22"/>
          <w:szCs w:val="22"/>
        </w:rPr>
        <w:t xml:space="preserve"> v </w:t>
      </w:r>
      <w:r w:rsidR="00092003">
        <w:rPr>
          <w:rFonts w:ascii="Arial" w:hAnsi="Arial" w:cs="Arial"/>
          <w:sz w:val="22"/>
          <w:szCs w:val="22"/>
        </w:rPr>
        <w:t xml:space="preserve">rámci </w:t>
      </w:r>
      <w:r w:rsidR="00092003" w:rsidRPr="00C91DA1">
        <w:rPr>
          <w:rFonts w:ascii="Arial" w:hAnsi="Arial" w:cs="Arial"/>
          <w:sz w:val="22"/>
          <w:szCs w:val="22"/>
        </w:rPr>
        <w:t>dokumentace viz a), objekt SO 181 DIO)</w:t>
      </w:r>
    </w:p>
    <w:p w:rsidR="00C91DA1" w:rsidRPr="00C91DA1" w:rsidRDefault="00C91DA1" w:rsidP="00C91DA1">
      <w:pPr>
        <w:pStyle w:val="Zkladntextodsazen21"/>
        <w:tabs>
          <w:tab w:val="left" w:pos="567"/>
        </w:tabs>
        <w:spacing w:before="120" w:line="260" w:lineRule="exact"/>
        <w:ind w:left="1440" w:firstLine="0"/>
        <w:rPr>
          <w:rFonts w:ascii="Arial" w:hAnsi="Arial" w:cs="Arial"/>
          <w:sz w:val="22"/>
          <w:szCs w:val="22"/>
        </w:rPr>
      </w:pPr>
    </w:p>
    <w:p w:rsidR="00C91DA1" w:rsidRDefault="00AA02D9" w:rsidP="00C91DA1">
      <w:pPr>
        <w:pStyle w:val="Zkladntextodsazen21"/>
        <w:numPr>
          <w:ilvl w:val="1"/>
          <w:numId w:val="19"/>
        </w:numPr>
        <w:tabs>
          <w:tab w:val="left" w:pos="567"/>
        </w:tabs>
        <w:spacing w:before="120" w:line="260" w:lineRule="exact"/>
        <w:rPr>
          <w:rFonts w:ascii="Arial" w:hAnsi="Arial" w:cs="Arial"/>
          <w:sz w:val="22"/>
          <w:szCs w:val="22"/>
        </w:rPr>
      </w:pPr>
      <w:r w:rsidRPr="00C91DA1">
        <w:rPr>
          <w:rFonts w:ascii="Arial" w:hAnsi="Arial" w:cs="Arial"/>
          <w:sz w:val="22"/>
          <w:szCs w:val="22"/>
        </w:rPr>
        <w:t>Příkazce</w:t>
      </w:r>
      <w:r w:rsidR="00392621" w:rsidRPr="00C91DA1">
        <w:rPr>
          <w:rFonts w:ascii="Arial" w:hAnsi="Arial" w:cs="Arial"/>
          <w:sz w:val="22"/>
          <w:szCs w:val="22"/>
        </w:rPr>
        <w:t xml:space="preserve"> se zavazuje, že za výkon </w:t>
      </w:r>
      <w:r w:rsidR="0090230A" w:rsidRPr="00C91DA1">
        <w:rPr>
          <w:rFonts w:ascii="Arial" w:hAnsi="Arial" w:cs="Arial"/>
          <w:sz w:val="22"/>
          <w:szCs w:val="22"/>
        </w:rPr>
        <w:t xml:space="preserve">TD </w:t>
      </w:r>
      <w:r w:rsidR="00392621" w:rsidRPr="00C91DA1">
        <w:rPr>
          <w:rFonts w:ascii="Arial" w:hAnsi="Arial" w:cs="Arial"/>
          <w:sz w:val="22"/>
          <w:szCs w:val="22"/>
        </w:rPr>
        <w:t xml:space="preserve">podle této smlouvy zaplatí </w:t>
      </w:r>
      <w:r w:rsidRPr="00C91DA1">
        <w:rPr>
          <w:rFonts w:ascii="Arial" w:hAnsi="Arial" w:cs="Arial"/>
          <w:sz w:val="22"/>
          <w:szCs w:val="22"/>
        </w:rPr>
        <w:t>příkazníkovi</w:t>
      </w:r>
      <w:r w:rsidR="00392621" w:rsidRPr="00C91DA1">
        <w:rPr>
          <w:rFonts w:ascii="Arial" w:hAnsi="Arial" w:cs="Arial"/>
          <w:sz w:val="22"/>
          <w:szCs w:val="22"/>
        </w:rPr>
        <w:t xml:space="preserve"> dohodnutou </w:t>
      </w:r>
      <w:r w:rsidR="008A6FDE" w:rsidRPr="00C91DA1">
        <w:rPr>
          <w:rFonts w:ascii="Arial" w:hAnsi="Arial" w:cs="Arial"/>
          <w:sz w:val="22"/>
          <w:szCs w:val="22"/>
        </w:rPr>
        <w:t>odměnu</w:t>
      </w:r>
      <w:r w:rsidR="00392621" w:rsidRPr="00C91DA1">
        <w:rPr>
          <w:rFonts w:ascii="Arial" w:hAnsi="Arial" w:cs="Arial"/>
          <w:sz w:val="22"/>
          <w:szCs w:val="22"/>
        </w:rPr>
        <w:t>.</w:t>
      </w:r>
    </w:p>
    <w:p w:rsidR="00C91DA1" w:rsidRPr="00C91DA1" w:rsidRDefault="00C91DA1" w:rsidP="00C91DA1">
      <w:pPr>
        <w:pStyle w:val="Zkladntextodsazen21"/>
        <w:tabs>
          <w:tab w:val="left" w:pos="567"/>
        </w:tabs>
        <w:spacing w:before="120" w:line="260" w:lineRule="exact"/>
        <w:ind w:left="0" w:firstLine="0"/>
        <w:rPr>
          <w:rFonts w:ascii="Arial" w:hAnsi="Arial" w:cs="Arial"/>
          <w:sz w:val="22"/>
          <w:szCs w:val="22"/>
        </w:rPr>
      </w:pPr>
    </w:p>
    <w:p w:rsidR="0058750A" w:rsidRDefault="00AA02D9" w:rsidP="00C91DA1">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Pr="00CA61AB" w:rsidRDefault="00004907" w:rsidP="00C91DA1">
      <w:pPr>
        <w:pStyle w:val="Zkladntextodsazen21"/>
        <w:numPr>
          <w:ilvl w:val="1"/>
          <w:numId w:val="19"/>
        </w:numPr>
        <w:tabs>
          <w:tab w:val="left" w:pos="567"/>
        </w:tabs>
        <w:spacing w:before="120" w:line="260" w:lineRule="exact"/>
        <w:rPr>
          <w:rFonts w:ascii="Arial" w:hAnsi="Arial" w:cs="Arial"/>
          <w:b/>
          <w:sz w:val="22"/>
          <w:szCs w:val="22"/>
        </w:rPr>
      </w:pPr>
      <w:r w:rsidRPr="00CA61AB">
        <w:rPr>
          <w:rFonts w:ascii="Arial" w:hAnsi="Arial" w:cs="Arial"/>
          <w:b/>
          <w:sz w:val="22"/>
          <w:szCs w:val="22"/>
        </w:rPr>
        <w:t xml:space="preserve">K zajištění výkonu vybraných činností ve výstavbě, přesahujících rozsah oboru, popřípadě specializace, k jejímuž výkonu byla </w:t>
      </w:r>
      <w:r w:rsidR="00B6292B" w:rsidRPr="00CA61AB">
        <w:rPr>
          <w:rFonts w:ascii="Arial" w:hAnsi="Arial" w:cs="Arial"/>
          <w:b/>
          <w:sz w:val="22"/>
          <w:szCs w:val="22"/>
        </w:rPr>
        <w:t xml:space="preserve">příkazníkovi jako </w:t>
      </w:r>
      <w:r w:rsidRPr="00CA61AB">
        <w:rPr>
          <w:rFonts w:ascii="Arial" w:hAnsi="Arial" w:cs="Arial"/>
          <w:b/>
          <w:sz w:val="22"/>
          <w:szCs w:val="22"/>
        </w:rPr>
        <w:t>autorizovan</w:t>
      </w:r>
      <w:r w:rsidR="00B6292B" w:rsidRPr="00CA61AB">
        <w:rPr>
          <w:rFonts w:ascii="Arial" w:hAnsi="Arial" w:cs="Arial"/>
          <w:b/>
          <w:sz w:val="22"/>
          <w:szCs w:val="22"/>
        </w:rPr>
        <w:t>é osobě autorizace udělena, je příkazník</w:t>
      </w:r>
      <w:r w:rsidRPr="00CA61AB">
        <w:rPr>
          <w:rFonts w:ascii="Arial" w:hAnsi="Arial" w:cs="Arial"/>
          <w:b/>
          <w:sz w:val="22"/>
          <w:szCs w:val="22"/>
        </w:rPr>
        <w:t xml:space="preserve"> povin</w:t>
      </w:r>
      <w:r w:rsidR="00B6292B" w:rsidRPr="00CA61AB">
        <w:rPr>
          <w:rFonts w:ascii="Arial" w:hAnsi="Arial" w:cs="Arial"/>
          <w:b/>
          <w:sz w:val="22"/>
          <w:szCs w:val="22"/>
        </w:rPr>
        <w:t>e</w:t>
      </w:r>
      <w:r w:rsidRPr="00CA61AB">
        <w:rPr>
          <w:rFonts w:ascii="Arial" w:hAnsi="Arial" w:cs="Arial"/>
          <w:b/>
          <w:sz w:val="22"/>
          <w:szCs w:val="22"/>
        </w:rPr>
        <w:t>n zajistit spolupráci osoby s autorizací v příslušném oboru, popřípadě specializaci.</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C91DA1">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C91DA1">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CA61AB" w:rsidRPr="00D31892" w:rsidRDefault="009907FC" w:rsidP="00D31892">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lastRenderedPageBreak/>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CA61AB" w:rsidRDefault="00CA61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2140CC" w:rsidRDefault="00D72EB6" w:rsidP="00501065">
      <w:pPr>
        <w:pStyle w:val="Zkladntextodsazen"/>
        <w:tabs>
          <w:tab w:val="left" w:pos="567"/>
        </w:tabs>
        <w:spacing w:line="260" w:lineRule="exact"/>
        <w:jc w:val="both"/>
        <w:rPr>
          <w:rFonts w:ascii="Arial" w:hAnsi="Arial" w:cs="Arial"/>
          <w:sz w:val="22"/>
          <w:szCs w:val="22"/>
          <w:u w:val="single"/>
        </w:rPr>
      </w:pPr>
      <w:r w:rsidRPr="002140CC">
        <w:rPr>
          <w:rFonts w:ascii="Arial" w:hAnsi="Arial" w:cs="Arial"/>
          <w:sz w:val="22"/>
          <w:szCs w:val="22"/>
          <w:u w:val="single"/>
        </w:rPr>
        <w:t>Přepokládané termíny stavebních prací:</w:t>
      </w:r>
    </w:p>
    <w:p w:rsidR="00CA61AB" w:rsidRPr="000F7956" w:rsidRDefault="00CA61AB" w:rsidP="00CA61AB">
      <w:pPr>
        <w:pStyle w:val="Nzev"/>
        <w:spacing w:line="288" w:lineRule="auto"/>
        <w:ind w:left="6804" w:hanging="6798"/>
        <w:jc w:val="left"/>
        <w:rPr>
          <w:rFonts w:ascii="Arial" w:hAnsi="Arial" w:cs="Arial"/>
          <w:b w:val="0"/>
          <w:bCs w:val="0"/>
          <w:sz w:val="22"/>
          <w:szCs w:val="22"/>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rPr>
        <w:t>06</w:t>
      </w:r>
      <w:r w:rsidRPr="00B57C09">
        <w:rPr>
          <w:rFonts w:ascii="Arial" w:hAnsi="Arial" w:cs="Arial"/>
          <w:b w:val="0"/>
          <w:bCs w:val="0"/>
          <w:sz w:val="22"/>
          <w:szCs w:val="22"/>
        </w:rPr>
        <w:t>/20</w:t>
      </w:r>
      <w:r>
        <w:rPr>
          <w:rFonts w:ascii="Arial" w:hAnsi="Arial" w:cs="Arial"/>
          <w:b w:val="0"/>
          <w:bCs w:val="0"/>
          <w:sz w:val="22"/>
          <w:szCs w:val="22"/>
        </w:rPr>
        <w:t>23</w:t>
      </w:r>
    </w:p>
    <w:p w:rsidR="00CA61AB" w:rsidRPr="00B57C09" w:rsidRDefault="00CA61AB" w:rsidP="00CA61AB">
      <w:pPr>
        <w:pStyle w:val="Nzev"/>
        <w:spacing w:line="288" w:lineRule="auto"/>
        <w:ind w:left="6804" w:hanging="6798"/>
        <w:jc w:val="left"/>
        <w:rPr>
          <w:rFonts w:ascii="Arial" w:hAnsi="Arial" w:cs="Arial"/>
          <w:b w:val="0"/>
          <w:bCs w:val="0"/>
          <w:sz w:val="22"/>
          <w:szCs w:val="22"/>
        </w:rPr>
      </w:pPr>
    </w:p>
    <w:p w:rsidR="00CA61AB" w:rsidRPr="00CA61AB" w:rsidRDefault="00CA61AB" w:rsidP="00CA61AB">
      <w:pPr>
        <w:pStyle w:val="Nzev"/>
        <w:spacing w:line="288" w:lineRule="auto"/>
        <w:ind w:left="6804" w:hanging="6798"/>
        <w:jc w:val="left"/>
        <w:rPr>
          <w:rFonts w:ascii="Arial" w:hAnsi="Arial" w:cs="Arial"/>
          <w:b w:val="0"/>
          <w:bCs w:val="0"/>
          <w:sz w:val="22"/>
          <w:szCs w:val="22"/>
        </w:rPr>
      </w:pPr>
      <w:r w:rsidRPr="00CA61AB">
        <w:rPr>
          <w:rFonts w:ascii="Arial" w:hAnsi="Arial" w:cs="Arial"/>
          <w:b w:val="0"/>
          <w:bCs w:val="0"/>
          <w:sz w:val="22"/>
          <w:szCs w:val="22"/>
        </w:rPr>
        <w:t>Zprovoznění díla, předčasné užívání stavby</w:t>
      </w:r>
    </w:p>
    <w:p w:rsidR="00CA61AB" w:rsidRPr="00CA61AB" w:rsidRDefault="00CA61AB" w:rsidP="00CA61AB">
      <w:pPr>
        <w:pStyle w:val="Nzev"/>
        <w:spacing w:line="288" w:lineRule="auto"/>
        <w:ind w:left="6804" w:hanging="6798"/>
        <w:jc w:val="left"/>
        <w:rPr>
          <w:rFonts w:ascii="Arial" w:hAnsi="Arial" w:cs="Arial"/>
          <w:b w:val="0"/>
          <w:bCs w:val="0"/>
          <w:sz w:val="22"/>
          <w:szCs w:val="22"/>
        </w:rPr>
      </w:pPr>
      <w:r w:rsidRPr="00CA61AB">
        <w:rPr>
          <w:rFonts w:ascii="Arial" w:hAnsi="Arial" w:cs="Arial"/>
          <w:b w:val="0"/>
          <w:bCs w:val="0"/>
          <w:sz w:val="22"/>
          <w:szCs w:val="22"/>
        </w:rPr>
        <w:t>v rozsahu I. etapy včetně mostu ev. č. 348 -008:</w:t>
      </w:r>
      <w:r w:rsidRPr="00CA61AB">
        <w:rPr>
          <w:rFonts w:ascii="Arial" w:hAnsi="Arial" w:cs="Arial"/>
          <w:b w:val="0"/>
          <w:bCs w:val="0"/>
          <w:sz w:val="22"/>
          <w:szCs w:val="22"/>
        </w:rPr>
        <w:tab/>
        <w:t>do 31. 10. 2023</w:t>
      </w:r>
    </w:p>
    <w:p w:rsidR="00CA61AB" w:rsidRPr="00CA61AB" w:rsidRDefault="00CA61AB" w:rsidP="00CA61AB">
      <w:pPr>
        <w:pStyle w:val="Nzev"/>
        <w:spacing w:line="288" w:lineRule="auto"/>
        <w:ind w:left="6804" w:hanging="6798"/>
        <w:jc w:val="left"/>
        <w:rPr>
          <w:rFonts w:ascii="Arial" w:hAnsi="Arial" w:cs="Arial"/>
          <w:b w:val="0"/>
          <w:bCs w:val="0"/>
          <w:sz w:val="22"/>
          <w:szCs w:val="22"/>
        </w:rPr>
      </w:pPr>
    </w:p>
    <w:p w:rsidR="00CA61AB" w:rsidRPr="00CA61AB" w:rsidRDefault="00CA61AB" w:rsidP="00CA61AB">
      <w:pPr>
        <w:pStyle w:val="Nzev"/>
        <w:spacing w:line="288" w:lineRule="auto"/>
        <w:ind w:left="6804" w:hanging="6798"/>
        <w:jc w:val="left"/>
        <w:rPr>
          <w:rFonts w:ascii="Arial" w:hAnsi="Arial" w:cs="Arial"/>
          <w:b w:val="0"/>
          <w:bCs w:val="0"/>
          <w:sz w:val="22"/>
          <w:szCs w:val="22"/>
        </w:rPr>
      </w:pPr>
      <w:r w:rsidRPr="00CA61AB">
        <w:rPr>
          <w:rFonts w:ascii="Arial" w:hAnsi="Arial" w:cs="Arial"/>
          <w:b w:val="0"/>
          <w:bCs w:val="0"/>
          <w:sz w:val="22"/>
          <w:szCs w:val="22"/>
        </w:rPr>
        <w:t>Zprovoznění díla, předčasné užívání stavby v rozsahu II. a III etapy:</w:t>
      </w:r>
      <w:r w:rsidRPr="00CA61AB">
        <w:rPr>
          <w:rFonts w:ascii="Arial" w:hAnsi="Arial" w:cs="Arial"/>
          <w:b w:val="0"/>
          <w:bCs w:val="0"/>
          <w:sz w:val="22"/>
          <w:szCs w:val="22"/>
        </w:rPr>
        <w:tab/>
        <w:t>do 31. 10. 2024</w:t>
      </w:r>
    </w:p>
    <w:p w:rsidR="00CA61AB" w:rsidRPr="00CA61AB" w:rsidRDefault="00CA61AB" w:rsidP="00CA61AB">
      <w:pPr>
        <w:pStyle w:val="Nzev"/>
        <w:spacing w:line="288" w:lineRule="auto"/>
        <w:ind w:left="6804" w:hanging="6798"/>
        <w:jc w:val="left"/>
        <w:rPr>
          <w:rFonts w:ascii="Arial" w:hAnsi="Arial" w:cs="Arial"/>
          <w:b w:val="0"/>
          <w:bCs w:val="0"/>
          <w:sz w:val="22"/>
          <w:szCs w:val="22"/>
        </w:rPr>
      </w:pPr>
    </w:p>
    <w:p w:rsidR="00CA61AB" w:rsidRPr="00CA61AB" w:rsidRDefault="00CA61AB" w:rsidP="00CA61AB">
      <w:pPr>
        <w:pStyle w:val="Nzev"/>
        <w:spacing w:line="288" w:lineRule="auto"/>
        <w:ind w:left="6804" w:hanging="6798"/>
        <w:jc w:val="left"/>
        <w:rPr>
          <w:rFonts w:ascii="Arial" w:hAnsi="Arial" w:cs="Arial"/>
          <w:b w:val="0"/>
          <w:bCs w:val="0"/>
          <w:sz w:val="22"/>
          <w:szCs w:val="22"/>
        </w:rPr>
      </w:pPr>
      <w:r w:rsidRPr="00CA61AB">
        <w:rPr>
          <w:rFonts w:ascii="Arial" w:hAnsi="Arial" w:cs="Arial"/>
          <w:b w:val="0"/>
          <w:bCs w:val="0"/>
          <w:sz w:val="22"/>
          <w:szCs w:val="22"/>
        </w:rPr>
        <w:t>Dokončení díla vč. předání kompletní dokladové části:</w:t>
      </w:r>
      <w:r w:rsidRPr="00CA61AB">
        <w:rPr>
          <w:rFonts w:ascii="Arial" w:hAnsi="Arial" w:cs="Arial"/>
          <w:b w:val="0"/>
          <w:bCs w:val="0"/>
          <w:sz w:val="22"/>
          <w:szCs w:val="22"/>
        </w:rPr>
        <w:tab/>
        <w:t>do 31. 1. 2025</w:t>
      </w:r>
    </w:p>
    <w:p w:rsidR="00CA61AB" w:rsidRPr="004307F5" w:rsidRDefault="00CA61AB" w:rsidP="00CA61AB">
      <w:pPr>
        <w:spacing w:line="288" w:lineRule="auto"/>
        <w:ind w:left="6804" w:hanging="6798"/>
        <w:jc w:val="both"/>
        <w:rPr>
          <w:rFonts w:ascii="Arial" w:hAnsi="Arial" w:cs="Arial"/>
        </w:rPr>
      </w:pPr>
    </w:p>
    <w:p w:rsidR="002140CC" w:rsidRDefault="002140CC" w:rsidP="002140CC">
      <w:pPr>
        <w:pStyle w:val="Zkladntextodsazen"/>
        <w:tabs>
          <w:tab w:val="left" w:pos="567"/>
        </w:tabs>
        <w:spacing w:line="260" w:lineRule="exact"/>
        <w:jc w:val="both"/>
        <w:rPr>
          <w:rFonts w:ascii="Arial" w:hAnsi="Arial" w:cs="Arial"/>
          <w:sz w:val="22"/>
          <w:szCs w:val="22"/>
        </w:rPr>
      </w:pPr>
    </w:p>
    <w:p w:rsid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CC1BAB" w:rsidRDefault="00CC1BAB"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CA61AB" w:rsidRDefault="00CA61AB" w:rsidP="00885EAF">
      <w:pPr>
        <w:pStyle w:val="Zkladntextodsazen"/>
        <w:spacing w:line="260" w:lineRule="exact"/>
        <w:jc w:val="both"/>
        <w:rPr>
          <w:rFonts w:ascii="Arial" w:hAnsi="Arial" w:cs="Arial"/>
          <w:sz w:val="22"/>
          <w:szCs w:val="22"/>
        </w:rPr>
      </w:pPr>
    </w:p>
    <w:p w:rsidR="00CA61AB" w:rsidRDefault="00CA61AB" w:rsidP="00885EAF">
      <w:pPr>
        <w:pStyle w:val="Zkladntextodsazen"/>
        <w:spacing w:line="260" w:lineRule="exact"/>
        <w:jc w:val="both"/>
        <w:rPr>
          <w:rFonts w:ascii="Arial" w:hAnsi="Arial" w:cs="Arial"/>
          <w:sz w:val="22"/>
          <w:szCs w:val="22"/>
        </w:rPr>
      </w:pPr>
    </w:p>
    <w:p w:rsidR="00CA61AB" w:rsidRDefault="00CA61AB" w:rsidP="00885EAF">
      <w:pPr>
        <w:pStyle w:val="Zkladntextodsazen"/>
        <w:spacing w:line="260" w:lineRule="exact"/>
        <w:jc w:val="both"/>
        <w:rPr>
          <w:rFonts w:ascii="Arial" w:hAnsi="Arial" w:cs="Arial"/>
          <w:sz w:val="22"/>
          <w:szCs w:val="22"/>
        </w:rPr>
      </w:pPr>
    </w:p>
    <w:p w:rsidR="00CA61AB" w:rsidRDefault="00CA61AB"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5A13BC" w:rsidP="0006285B">
            <w:pPr>
              <w:jc w:val="center"/>
              <w:rPr>
                <w:rFonts w:ascii="Arial" w:hAnsi="Arial" w:cs="Arial"/>
                <w:bCs/>
              </w:rPr>
            </w:pPr>
            <w:r>
              <w:rPr>
                <w:rFonts w:ascii="Arial" w:hAnsi="Arial" w:cs="Arial"/>
                <w:bCs/>
              </w:rPr>
              <w:t>20</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4804FA">
        <w:rPr>
          <w:rFonts w:ascii="Arial" w:hAnsi="Arial" w:cs="Arial"/>
          <w:sz w:val="22"/>
          <w:szCs w:val="22"/>
        </w:rPr>
        <w:t xml:space="preserve">změny </w:t>
      </w:r>
      <w:r w:rsidR="00AC4C65" w:rsidRPr="004804FA">
        <w:rPr>
          <w:rFonts w:ascii="Arial" w:hAnsi="Arial" w:cs="Arial"/>
          <w:sz w:val="22"/>
          <w:szCs w:val="22"/>
        </w:rPr>
        <w:t>zákonných sazeb DPH</w:t>
      </w:r>
      <w:r w:rsidR="00CF176C" w:rsidRPr="004804FA">
        <w:rPr>
          <w:rFonts w:ascii="Arial" w:hAnsi="Arial" w:cs="Arial"/>
          <w:sz w:val="22"/>
          <w:szCs w:val="22"/>
        </w:rPr>
        <w:t xml:space="preserve"> či v případě změn uvedených v odst. 5.12</w:t>
      </w:r>
      <w:r w:rsidR="00CF176C" w:rsidRPr="004804FA">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A71293" w:rsidRDefault="00392621" w:rsidP="00A71293">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4804FA" w:rsidRDefault="005C477F" w:rsidP="009D0C8F">
      <w:pPr>
        <w:pStyle w:val="Zkladntextodsazen"/>
        <w:numPr>
          <w:ilvl w:val="1"/>
          <w:numId w:val="8"/>
        </w:numPr>
        <w:tabs>
          <w:tab w:val="left" w:pos="570"/>
        </w:tabs>
        <w:spacing w:line="260" w:lineRule="exact"/>
        <w:ind w:left="0" w:firstLine="0"/>
        <w:jc w:val="both"/>
        <w:rPr>
          <w:rFonts w:ascii="Arial" w:hAnsi="Arial" w:cs="Arial"/>
          <w:sz w:val="22"/>
          <w:szCs w:val="22"/>
        </w:rPr>
      </w:pPr>
      <w:r w:rsidRPr="004804FA">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4804FA">
        <w:rPr>
          <w:rFonts w:ascii="Arial" w:hAnsi="Arial" w:cs="Arial"/>
          <w:sz w:val="22"/>
          <w:szCs w:val="22"/>
        </w:rPr>
        <w:t>příkazce</w:t>
      </w:r>
      <w:r w:rsidRPr="004804FA">
        <w:rPr>
          <w:rFonts w:ascii="Arial" w:hAnsi="Arial" w:cs="Arial"/>
          <w:sz w:val="22"/>
          <w:szCs w:val="22"/>
        </w:rPr>
        <w:t xml:space="preserve">. Pro účely vystavení </w:t>
      </w:r>
      <w:r w:rsidR="00F76BDB" w:rsidRPr="004804FA">
        <w:rPr>
          <w:rFonts w:ascii="Arial" w:hAnsi="Arial" w:cs="Arial"/>
          <w:sz w:val="22"/>
          <w:szCs w:val="22"/>
        </w:rPr>
        <w:t>faktur</w:t>
      </w:r>
      <w:r w:rsidRPr="004804FA">
        <w:rPr>
          <w:rFonts w:ascii="Arial" w:hAnsi="Arial" w:cs="Arial"/>
          <w:sz w:val="22"/>
          <w:szCs w:val="22"/>
        </w:rPr>
        <w:t xml:space="preserve"> se použije označení </w:t>
      </w:r>
      <w:r w:rsidR="00FD0B71" w:rsidRPr="004804FA">
        <w:rPr>
          <w:rFonts w:ascii="Arial" w:hAnsi="Arial" w:cs="Arial"/>
          <w:sz w:val="22"/>
          <w:szCs w:val="22"/>
        </w:rPr>
        <w:t>příkazce</w:t>
      </w:r>
      <w:r w:rsidRPr="004804FA">
        <w:rPr>
          <w:rFonts w:ascii="Arial" w:hAnsi="Arial" w:cs="Arial"/>
          <w:sz w:val="22"/>
          <w:szCs w:val="22"/>
        </w:rPr>
        <w:t xml:space="preserve">: Kraj Vysočina, Žižkova 1882/57, </w:t>
      </w:r>
      <w:r w:rsidR="002C20FD" w:rsidRPr="004804FA">
        <w:rPr>
          <w:rFonts w:ascii="Arial" w:hAnsi="Arial" w:cs="Arial"/>
          <w:sz w:val="22"/>
          <w:szCs w:val="22"/>
        </w:rPr>
        <w:t>586 01</w:t>
      </w:r>
      <w:r w:rsidRPr="004804FA">
        <w:rPr>
          <w:rFonts w:ascii="Arial" w:hAnsi="Arial" w:cs="Arial"/>
          <w:sz w:val="22"/>
          <w:szCs w:val="22"/>
        </w:rPr>
        <w:t xml:space="preserve"> Jihlava, IČ</w:t>
      </w:r>
      <w:r w:rsidR="007D52CC" w:rsidRPr="004804FA">
        <w:rPr>
          <w:rFonts w:ascii="Arial" w:hAnsi="Arial" w:cs="Arial"/>
          <w:sz w:val="22"/>
          <w:szCs w:val="22"/>
        </w:rPr>
        <w:t>O</w:t>
      </w:r>
      <w:r w:rsidRPr="004804FA">
        <w:rPr>
          <w:rFonts w:ascii="Arial" w:hAnsi="Arial" w:cs="Arial"/>
          <w:sz w:val="22"/>
          <w:szCs w:val="22"/>
        </w:rPr>
        <w:t xml:space="preserve"> 708 90 749. </w:t>
      </w:r>
      <w:r w:rsidR="00BF08B6" w:rsidRPr="004804FA">
        <w:rPr>
          <w:rFonts w:ascii="Arial" w:hAnsi="Arial" w:cs="Arial"/>
          <w:sz w:val="22"/>
          <w:szCs w:val="22"/>
        </w:rPr>
        <w:t>P</w:t>
      </w:r>
      <w:r w:rsidR="00225EFF" w:rsidRPr="004804FA">
        <w:rPr>
          <w:rFonts w:ascii="Arial" w:hAnsi="Arial" w:cs="Arial"/>
          <w:sz w:val="22"/>
          <w:szCs w:val="22"/>
        </w:rPr>
        <w:t xml:space="preserve">říkazník </w:t>
      </w:r>
      <w:r w:rsidR="00F76BDB" w:rsidRPr="004804FA">
        <w:rPr>
          <w:rFonts w:ascii="Arial" w:hAnsi="Arial" w:cs="Arial"/>
          <w:sz w:val="22"/>
          <w:szCs w:val="22"/>
        </w:rPr>
        <w:t xml:space="preserve">je </w:t>
      </w:r>
      <w:r w:rsidR="00225EFF" w:rsidRPr="004804FA">
        <w:rPr>
          <w:rFonts w:ascii="Arial" w:hAnsi="Arial" w:cs="Arial"/>
          <w:sz w:val="22"/>
          <w:szCs w:val="22"/>
        </w:rPr>
        <w:t>povinen</w:t>
      </w:r>
      <w:r w:rsidRPr="004804FA">
        <w:rPr>
          <w:rFonts w:ascii="Arial" w:hAnsi="Arial" w:cs="Arial"/>
          <w:sz w:val="22"/>
          <w:szCs w:val="22"/>
        </w:rPr>
        <w:t xml:space="preserve"> uvádět na </w:t>
      </w:r>
      <w:r w:rsidR="00F76BDB" w:rsidRPr="004804FA">
        <w:rPr>
          <w:rFonts w:ascii="Arial" w:hAnsi="Arial" w:cs="Arial"/>
          <w:sz w:val="22"/>
          <w:szCs w:val="22"/>
        </w:rPr>
        <w:t>faktur</w:t>
      </w:r>
      <w:r w:rsidR="00A0479A" w:rsidRPr="004804FA">
        <w:rPr>
          <w:rFonts w:ascii="Arial" w:hAnsi="Arial" w:cs="Arial"/>
          <w:sz w:val="22"/>
          <w:szCs w:val="22"/>
        </w:rPr>
        <w:t>ách</w:t>
      </w:r>
      <w:r w:rsidRPr="004804FA">
        <w:rPr>
          <w:rFonts w:ascii="Arial" w:hAnsi="Arial" w:cs="Arial"/>
          <w:sz w:val="22"/>
          <w:szCs w:val="22"/>
        </w:rPr>
        <w:t xml:space="preserve"> doslovný a přesný název akce</w:t>
      </w:r>
      <w:r w:rsidR="003D10EA" w:rsidRPr="004804FA">
        <w:rPr>
          <w:rFonts w:ascii="Arial" w:hAnsi="Arial" w:cs="Arial"/>
          <w:sz w:val="22"/>
          <w:szCs w:val="22"/>
        </w:rPr>
        <w:t xml:space="preserve"> </w:t>
      </w:r>
      <w:r w:rsidR="00CA61AB">
        <w:rPr>
          <w:rFonts w:ascii="Arial" w:hAnsi="Arial" w:cs="Arial"/>
          <w:sz w:val="22"/>
          <w:szCs w:val="22"/>
        </w:rPr>
        <w:br/>
      </w:r>
      <w:r w:rsidR="005A13BC">
        <w:rPr>
          <w:rFonts w:ascii="Arial" w:hAnsi="Arial" w:cs="Arial"/>
          <w:b/>
          <w:bCs/>
          <w:sz w:val="22"/>
          <w:szCs w:val="22"/>
        </w:rPr>
        <w:t>II/348 Dobronín, průtah.</w:t>
      </w:r>
    </w:p>
    <w:p w:rsidR="004804FA" w:rsidRPr="004804FA" w:rsidRDefault="004804FA" w:rsidP="004804FA">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lastRenderedPageBreak/>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Pr="009A50B9"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w:t>
      </w:r>
      <w:r w:rsidR="00E53A4C">
        <w:rPr>
          <w:rFonts w:ascii="Arial" w:hAnsi="Arial" w:cs="Arial"/>
          <w:sz w:val="22"/>
          <w:szCs w:val="22"/>
        </w:rPr>
        <w:t>uzavřena</w:t>
      </w:r>
      <w:r w:rsidRPr="005C477F">
        <w:rPr>
          <w:rFonts w:ascii="Arial" w:hAnsi="Arial" w:cs="Arial"/>
          <w:sz w:val="22"/>
          <w:szCs w:val="22"/>
        </w:rPr>
        <w:t xml:space="preserve"> </w:t>
      </w:r>
      <w:r w:rsidR="003071B2">
        <w:rPr>
          <w:rFonts w:ascii="Arial" w:hAnsi="Arial" w:cs="Arial"/>
          <w:sz w:val="22"/>
          <w:szCs w:val="22"/>
        </w:rPr>
        <w:t>elektronicky</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D64312">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D64312">
      <w:rPr>
        <w:noProof/>
      </w:rPr>
      <w:t>9</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4F4EBA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C3B0C88"/>
    <w:multiLevelType w:val="hybridMultilevel"/>
    <w:tmpl w:val="9E08265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8"/>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9"/>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0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2003"/>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40CC"/>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2BE5"/>
    <w:rsid w:val="002663B5"/>
    <w:rsid w:val="00267EDD"/>
    <w:rsid w:val="00270D48"/>
    <w:rsid w:val="0027123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04FA"/>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13BC"/>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E0A16"/>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1293"/>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71F"/>
    <w:rsid w:val="00AC4C65"/>
    <w:rsid w:val="00AD437B"/>
    <w:rsid w:val="00AD43C7"/>
    <w:rsid w:val="00AD7A6F"/>
    <w:rsid w:val="00AE20F7"/>
    <w:rsid w:val="00AE5E6F"/>
    <w:rsid w:val="00AF6DD5"/>
    <w:rsid w:val="00B0038C"/>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22B7"/>
    <w:rsid w:val="00C16647"/>
    <w:rsid w:val="00C2490B"/>
    <w:rsid w:val="00C26351"/>
    <w:rsid w:val="00C27E0E"/>
    <w:rsid w:val="00C311C7"/>
    <w:rsid w:val="00C50E94"/>
    <w:rsid w:val="00C52E96"/>
    <w:rsid w:val="00C5754F"/>
    <w:rsid w:val="00C62EED"/>
    <w:rsid w:val="00C6600E"/>
    <w:rsid w:val="00C746AF"/>
    <w:rsid w:val="00C750F0"/>
    <w:rsid w:val="00C86220"/>
    <w:rsid w:val="00C91DA1"/>
    <w:rsid w:val="00CA345E"/>
    <w:rsid w:val="00CA61AB"/>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1892"/>
    <w:rsid w:val="00D33DB2"/>
    <w:rsid w:val="00D367E1"/>
    <w:rsid w:val="00D37180"/>
    <w:rsid w:val="00D40D07"/>
    <w:rsid w:val="00D4741E"/>
    <w:rsid w:val="00D542E7"/>
    <w:rsid w:val="00D563A7"/>
    <w:rsid w:val="00D64312"/>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4:docId w14:val="3F1F1165"/>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73F0-6706-49A0-8D88-AD47BA89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3249</Words>
  <Characters>19170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Veleba Aneta Ing.</cp:lastModifiedBy>
  <cp:revision>48</cp:revision>
  <cp:lastPrinted>2021-01-13T11:27:00Z</cp:lastPrinted>
  <dcterms:created xsi:type="dcterms:W3CDTF">2021-01-07T11:15:00Z</dcterms:created>
  <dcterms:modified xsi:type="dcterms:W3CDTF">2023-03-29T06:43:00Z</dcterms:modified>
</cp:coreProperties>
</file>